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14" w:rsidRDefault="008A1F14" w:rsidP="008A1F1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г. Щигры от 19 октября 2017г. № 260-3-ПС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Местных нормативов градостроительного проектирования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a"/>
          <w:rFonts w:ascii="Tahoma" w:hAnsi="Tahoma" w:cs="Tahoma"/>
          <w:b/>
          <w:bCs/>
          <w:color w:val="000000"/>
        </w:rPr>
        <w:t>ПРЕДСТАВИТЕЛЬНОЕ СОБРАНИЕ</w:t>
      </w:r>
    </w:p>
    <w:p w:rsidR="008A1F14" w:rsidRDefault="008A1F14" w:rsidP="008A1F1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Style w:val="aa"/>
          <w:rFonts w:ascii="Tahoma" w:hAnsi="Tahoma" w:cs="Tahoma"/>
          <w:b/>
          <w:bCs/>
          <w:color w:val="000000"/>
        </w:rPr>
        <w:t>ЩИГРОВСКОГО РАЙОНА КУРСКОЙ ОБЛАСТИ</w:t>
      </w:r>
    </w:p>
    <w:p w:rsidR="008A1F14" w:rsidRDefault="008A1F14" w:rsidP="008A1F1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(третьего созыва)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Fonts w:ascii="Tahoma" w:hAnsi="Tahoma" w:cs="Tahoma"/>
          <w:color w:val="000000"/>
        </w:rPr>
        <w:t>Р</w:t>
      </w:r>
      <w:proofErr w:type="gramEnd"/>
      <w:r>
        <w:rPr>
          <w:rFonts w:ascii="Tahoma" w:hAnsi="Tahoma" w:cs="Tahoma"/>
          <w:color w:val="000000"/>
        </w:rPr>
        <w:t xml:space="preserve"> Е Ш Е Н И Е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от 19 октября 2017г.                                                                                                № 260-3-ПС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Об утверждении Местных нормативов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градостроительного проектирования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Градостроительным кодексом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Представительное Собрание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Местные нормативы градостроительного проектирования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официального опубликования.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                                Ю.И. Астахов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 октября 2017г.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260-3-ПС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1F14" w:rsidRDefault="008A1F14" w:rsidP="008A1F1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8A1F14" w:rsidRDefault="00CF7231" w:rsidP="008A1F14"/>
    <w:sectPr w:rsidR="00CF7231" w:rsidRPr="008A1F14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15</cp:revision>
  <cp:lastPrinted>2025-01-31T13:01:00Z</cp:lastPrinted>
  <dcterms:created xsi:type="dcterms:W3CDTF">2025-03-25T19:20:00Z</dcterms:created>
  <dcterms:modified xsi:type="dcterms:W3CDTF">2025-04-15T05:38:00Z</dcterms:modified>
</cp:coreProperties>
</file>