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087569" w:rsidTr="000875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87569" w:rsidRDefault="0008756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87569" w:rsidRDefault="00087569" w:rsidP="0008756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НОРМАТИВЫ ГРАДОСТРОИТЕЛЬНОГО ПРОЕКТИРОВАНИЯ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Щигровского района Курской области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Вышнеольховатского сельсовета Щигровского РАЙОНА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8"/>
      </w:tblGrid>
      <w:tr w:rsidR="00087569" w:rsidTr="00087569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НОРМАТИВЫ ГРАДОСТРОИТЕЛЬНОГО ПРОЕКТИРОВАНИЯ</w:t>
            </w:r>
            <w:r>
              <w:rPr>
                <w:rStyle w:val="aa"/>
                <w:i/>
                <w:iCs/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Ш И Ф Р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2017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Щигровского района Курской области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Вышнеольховатского сельсовета Щигровского РАЙОНА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8"/>
      </w:tblGrid>
      <w:tr w:rsidR="00087569" w:rsidTr="00087569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НОРМАТИВЫ ГРАДОСТРОИТЕЛЬНОГО ПРОЕКТИРОВАНИЯ</w:t>
            </w:r>
            <w:r>
              <w:rPr>
                <w:rStyle w:val="aa"/>
                <w:i/>
                <w:iCs/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 И Ф Р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Содержание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6150"/>
        <w:gridCol w:w="1515"/>
      </w:tblGrid>
      <w:tr w:rsidR="00087569" w:rsidTr="00087569">
        <w:trPr>
          <w:tblHeader/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Обозначение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Примечание</w:t>
            </w:r>
          </w:p>
        </w:tc>
      </w:tr>
      <w:tr w:rsidR="00087569" w:rsidTr="00087569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87569" w:rsidTr="00087569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87569" w:rsidTr="00087569">
        <w:trPr>
          <w:tblCellSpacing w:w="0" w:type="dxa"/>
        </w:trPr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Расположение в системе расселения и административно-территориальное устройство</w:t>
            </w: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документации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2040"/>
        <w:gridCol w:w="5385"/>
        <w:gridCol w:w="1695"/>
      </w:tblGrid>
      <w:tr w:rsidR="00087569" w:rsidTr="00087569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/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тома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2"/>
              <w:spacing w:before="0"/>
            </w:pPr>
            <w: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087569" w:rsidTr="00087569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087569" w:rsidTr="00087569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087569" w:rsidTr="00087569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7569" w:rsidTr="00087569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– диск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виде файлов в формате Acrobat Reader;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диска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выполнен в соответствии с действующими нормами, правилами и стандартами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ГАП                                                                                                                          _________________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Нормативно-правовая база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Федеральные законы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Градостроительный кодекс Российской Федерации от 29 декабря 2004 года № 190-ФЗ;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Земельный кодекс Российской Федерации от 25 октября 2001 года № 136-ФЗ;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Жилищный кодекс Российской Федерации от 29 декабря 2004 года № 188-ФЗ;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Водный кодекс Российской Федерации от 3 июня 2006 года № 74-ФЗ;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Лесной кодекс Российской Федерации от 4 декабря 2006 года № 200-ФЗ;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14 марта 1995 года № 33-ФЗ «Об особо охраняемых природных территориях»;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12 января 1996 года № 8-ФЗ «О погребении и похоронном деле»;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24 июня 1998 года № 89-ФЗ «Об отходах производства и потребления»;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30 марта 1999 года № 52-Ф3 «О санитарно-эпидемиологическом благополучии населения»;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мая 1999 года № 96-Ф3 «Об охране атмосферного воздуха»;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10 января 2002 года № 7-ФЗ «Об охране окружающей среды»;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декабря 2002 года № 184-ФЗ «О техническом регулировании»;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декабря 2007 № 329 «О физической культуре и спорте»;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июля 2010 года № 190-ФЗ «О теплоснабжении»;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7 декабря 2011 года № 416-ФЗ «О водоснабжении и водоотведении».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Иные нормативные акты Российской Федерации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Законодательные и нормативные акты Курской области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01.12.2004 № 60-ЗКО «О границах муниципальных образований Курской области»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31.10.2006 № 76-ЗКО «О градостроительной деятельности в Курской  области»;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Строительные нормы и правила (СНиП). Своды правил по проектированию и строительству (СП)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Правила</w:t>
        </w:r>
      </w:hyperlink>
      <w:r>
        <w:rPr>
          <w:rFonts w:ascii="Tahoma" w:hAnsi="Tahoma" w:cs="Tahoma"/>
          <w:color w:val="000000"/>
          <w:sz w:val="18"/>
          <w:szCs w:val="18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СанПиН 42-128-4690-88</w:t>
        </w:r>
      </w:hyperlink>
      <w:r>
        <w:rPr>
          <w:rFonts w:ascii="Tahoma" w:hAnsi="Tahoma" w:cs="Tahoma"/>
          <w:color w:val="000000"/>
          <w:sz w:val="18"/>
          <w:szCs w:val="18"/>
        </w:rPr>
        <w:t>. Санитарные правила содержания территорий населенных мест.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СанПиН 2.1.2882-11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СП 2.1.7.1038-01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устройству и содержанию полигонов для твердых бытовых отходов.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131.13330.2012 Строительная климатология. Актуализированная редакция СНиП 23-01-99*.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Цели и задачи Местных нормативов градостроительного проектирования (МНГП)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Местные нормативы градостроительного проектирования Вышнеольховатского сельсовета Щигровского района Курской  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Вышнеольховатского сельсовета и расчетные показатели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максимально допустимого уровня территориальной доступности таких объектов для населения Вышнеольховатского сельсовета.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электро-, тепло-, газо- и водоснабжение населения, водоотведение;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автомобильные дороги местного значения;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иные области в связи с решением вопросов местного значения поселения, городского округа.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объекты, находящиеся в собственности муниципального образования;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объекты водоотведения, электро-, тепло-, газо-, водоснабжения населения муниципального образования;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автомобильные дороги и сооружения на них в границах муниципального образования;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проекте Местных нормативов градостроительного проектирования Вышнеольховатского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проекта МНГП являются: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проведение комплексного анализа территории муниципального образования;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расчет с учетом проведенного анализа: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территориальной доступности таких объектов для населения муниципального образования;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Расположение и природно-климатические условия Вышнеольховатского сельсовета Щигровского района Курской области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Расположение в системе расселения и административно-территориальное устройство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 – Сведения о населенных пунктах  Вышнеольховатского сельсовета Щигровского района Курской области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880"/>
        <w:gridCol w:w="3060"/>
        <w:gridCol w:w="2595"/>
      </w:tblGrid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на 01.01.2017 г.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до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  МО, км.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д.Апухтина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с.Вышнеольховатое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Зюзинка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д.Коршуновка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Кулига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Кирсановка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Лавровка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д.Рудка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Осиновка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д.Шестаковка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87569" w:rsidTr="0008756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400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Природно-климатические условия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  сельсовета  относится  к  южному  агроклиматическому  району  Курской  области  с  умеренно - континентальным  климатом.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Среднемесячная  температура  самого  теплого  месяца ( июль ) + 19,5°С  , среднемесячная  температура  самого  холодного месяца ( январь ) - 8,5 °С . Абсолютный  максимум  температуры  + 37 °С , абсолют ный  минимум  - 38 °С 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Среднегодовое количество осадков  650  миллиметров , две  трети  годового  объема  осадков  выпадает  в  виде  дождя , остальное -  в  виде  снега 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Теплый период длится 220-235 дней. Продолжительность солнечного сияния за год 1775 часов, что составляет 44% от возможной.   Зимой снеговой покров составляет 15-40 см, грунт промерзает до 60 см. Ледостав – ноябрь-декабрь, вскрытие рек происходит во второй половине марта – первой половине апреля. Ветровой режим меняется мало. В теплый период (апрель-сентябрь) преобладают западные, северо-западные и северо-восточные ветры. В холодный период (октябрь-март) – юго-западные ,  восточные  и  юго-восточные . Среднемесячная  скорость   ветра  от  2,7  до 6,3 м/с.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Социально-демографический состав и плотность населения на территории Вышнеольховатского сельсовета Щигровского района  Курской  области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 – Численность населения в границах Вышнеольховатского сельсовета по данным переписи населения в 2010 году.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4966"/>
        <w:gridCol w:w="1919"/>
        <w:gridCol w:w="1864"/>
      </w:tblGrid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Вышнеольховатское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Зюзинка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Апухтина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Кирсановка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Коршуновка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Кулига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Лавровка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Осиновка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Рудка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Шестаковка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087569" w:rsidTr="0008756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3 – Динамика численности населения  Большезмеинского сельсовета (на начало года)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5"/>
        <w:gridCol w:w="3564"/>
        <w:gridCol w:w="3339"/>
        <w:gridCol w:w="2674"/>
        <w:gridCol w:w="2894"/>
        <w:gridCol w:w="2894"/>
      </w:tblGrid>
      <w:tr w:rsidR="00087569" w:rsidTr="00087569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Поселение – Вышнеольховатский сельсовет/год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87569" w:rsidTr="00087569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87569" w:rsidTr="00087569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Вышнеольховатский сельсовет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населения на 01.01.2017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 – Плотность населения в границах населенных пунктов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2880"/>
        <w:gridCol w:w="2340"/>
      </w:tblGrid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населения, чел/га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с.Вышнеольховатое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2,36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д.Зюзинка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д.Апухтина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д.Кирсановка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д.Коршуновка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д.Кулига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д.Лавровка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д.Осиновка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д.Рудка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1,16</w:t>
            </w:r>
          </w:p>
        </w:tc>
      </w:tr>
      <w:tr w:rsidR="00087569" w:rsidTr="00087569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д.Шестаковка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I. Объекты муниципального жилищного фонда Вышнеольховатского сельсовета Щигровского района Курской области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1. Расчетный показатель минимально допустимого уровня обеспеченности жилыми помещениями муниципального жилищного фонда Вышнеольховатского сельсовета, предоставляемыми по договорам социального найма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Вышнеольховатского сельсовета 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Вышнеольховатского сельсовета 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граждан в случаях, предусмотренных законодательством.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максимально допустимого уровня территориальной доступности объектов муниципального жилищного фонда Вышнеольховатского сельсовета.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УЧРЕЖДЕНИЯ И ПРЕДПРИЯТИЯ ОБСЛУЖИВАНИЯ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II. Объекты здравоохранения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1"/>
        <w:gridCol w:w="2147"/>
        <w:gridCol w:w="3034"/>
        <w:gridCol w:w="2373"/>
      </w:tblGrid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 в смену на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18,15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Больничные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Коек на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Станции скорой 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автомобиль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6,2 тыс. чел. -  в сельских насел. пунктах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чел. – в городах до 50 тыс. чел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Выдвижные пункты скорой 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 </w:t>
            </w:r>
            <w:r>
              <w:rPr>
                <w:sz w:val="18"/>
                <w:szCs w:val="18"/>
                <w:u w:val="single"/>
              </w:rPr>
              <w:t>автомобиль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5 тыс чел. сельского </w:t>
            </w:r>
            <w:r>
              <w:rPr>
                <w:sz w:val="18"/>
                <w:szCs w:val="18"/>
                <w:u w:val="single"/>
              </w:rPr>
              <w:t>поселения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 установлены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1980"/>
        <w:gridCol w:w="2415"/>
        <w:gridCol w:w="3120"/>
      </w:tblGrid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изменениями и дополнениями от: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III. Объекты физической культуры и спорта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0"/>
        <w:gridCol w:w="1905"/>
        <w:gridCol w:w="2025"/>
        <w:gridCol w:w="3690"/>
      </w:tblGrid>
      <w:tr w:rsidR="00087569" w:rsidTr="00087569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площади пола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60-80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087569" w:rsidTr="00087569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Плавательные бассейны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зеркала воды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Стадионы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IV. Объекты культуры и искусства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Вышнеольховатского сельсовета.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8"/>
        <w:gridCol w:w="3085"/>
        <w:gridCol w:w="4848"/>
        <w:gridCol w:w="9479"/>
      </w:tblGrid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поселения: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стационарная опорная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населенных пунктах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7569" w:rsidTr="00087569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V. Объекты образования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9"/>
        <w:gridCol w:w="1516"/>
        <w:gridCol w:w="1522"/>
        <w:gridCol w:w="4381"/>
        <w:gridCol w:w="200"/>
      </w:tblGrid>
      <w:tr w:rsidR="00087569" w:rsidTr="00087569">
        <w:trPr>
          <w:tblCellSpacing w:w="0" w:type="dxa"/>
        </w:trPr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дошкольного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в расчете на 100 детей в возрасте от 0 до 7 лет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7569" w:rsidTr="00087569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N АК-950/02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</w:t>
            </w:r>
            <w:r>
              <w:rPr>
                <w:sz w:val="18"/>
                <w:szCs w:val="18"/>
              </w:rPr>
              <w:lastRenderedPageBreak/>
              <w:t>числе в сельской местности, исходя из норм действующего законодательства российской федерации,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087569" w:rsidTr="00087569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7569" w:rsidTr="00087569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7"/>
        <w:gridCol w:w="1934"/>
        <w:gridCol w:w="1488"/>
        <w:gridCol w:w="4199"/>
      </w:tblGrid>
      <w:tr w:rsidR="00087569" w:rsidTr="00087569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общего образования</w:t>
            </w:r>
          </w:p>
        </w:tc>
        <w:tc>
          <w:tcPr>
            <w:tcW w:w="1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N АК-950/02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087569" w:rsidTr="00087569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7"/>
        <w:gridCol w:w="2457"/>
        <w:gridCol w:w="1382"/>
        <w:gridCol w:w="3552"/>
      </w:tblGrid>
      <w:tr w:rsidR="00087569" w:rsidTr="00087569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  образование детей</w:t>
            </w:r>
          </w:p>
        </w:tc>
        <w:tc>
          <w:tcPr>
            <w:tcW w:w="2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№ АК-950/02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087569" w:rsidTr="00087569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550"/>
        <w:gridCol w:w="1560"/>
        <w:gridCol w:w="1845"/>
        <w:gridCol w:w="2835"/>
      </w:tblGrid>
      <w:tr w:rsidR="00087569" w:rsidTr="0008756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 42.13330.2011 Градостроительство. Планировка </w:t>
            </w:r>
            <w:r>
              <w:rPr>
                <w:sz w:val="18"/>
                <w:szCs w:val="18"/>
              </w:rPr>
              <w:lastRenderedPageBreak/>
              <w:t>и застройка городских и сельских населенных пунктов</w:t>
            </w:r>
          </w:p>
        </w:tc>
      </w:tr>
      <w:tr w:rsidR="00087569" w:rsidTr="0008756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I- 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500**в городском</w:t>
            </w:r>
            <w:r>
              <w:rPr>
                <w:sz w:val="18"/>
                <w:szCs w:val="18"/>
                <w:u w:val="single"/>
              </w:rPr>
              <w:t> поселении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 в городском </w:t>
            </w:r>
            <w:r>
              <w:rPr>
                <w:sz w:val="18"/>
                <w:szCs w:val="18"/>
                <w:u w:val="single"/>
              </w:rPr>
              <w:t>поселении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дополнительного образования для детей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нормируется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*I ступень (начальное общее образование) — 4 года;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ступень (основное общее образование) — 5 лет;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 ступень (среднее (полное) общее образование) — 2 года.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VI. Объекты услуг общественного питания, торговли, бытового обслуживания и иных услуг для населения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Вышнеольховатского сельсовета 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6"/>
        <w:gridCol w:w="4675"/>
        <w:gridCol w:w="3340"/>
        <w:gridCol w:w="2895"/>
        <w:gridCol w:w="9574"/>
      </w:tblGrid>
      <w:tr w:rsidR="00087569" w:rsidTr="00087569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5789"/>
        <w:gridCol w:w="3564"/>
        <w:gridCol w:w="5344"/>
        <w:gridCol w:w="5124"/>
      </w:tblGrid>
      <w:tr w:rsidR="00087569" w:rsidTr="00087569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087569" w:rsidTr="00087569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VII. Объекты автомобильного транспорта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протяженность транспортной и улично-дорожной сети поселения составляет 53,5 км, включая улично-дорожную сеть и магистральные дороги. Улично-дорожная сеть составляет 24,4 км.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площадь территории поселения – 65,44 кв. км. Существующая площадь населенных пунктов составляет 2,99 кв.км.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0,008 км/км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Сеть улиц и дорог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VIII. Объекты электроснабжения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РД 34.20.185-94</w:t>
        </w:r>
      </w:hyperlink>
      <w:r>
        <w:rPr>
          <w:rFonts w:ascii="Tahoma" w:hAnsi="Tahoma" w:cs="Tahoma"/>
          <w:color w:val="000000"/>
          <w:sz w:val="18"/>
          <w:szCs w:val="18"/>
        </w:rPr>
        <w:t> "Инструкция по проектированию городских электрических сетей" и СП 31-110-2003 г.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18 - Обоснование укрупненных показателей электропотребления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"/>
        <w:gridCol w:w="1799"/>
        <w:gridCol w:w="1985"/>
        <w:gridCol w:w="3201"/>
        <w:gridCol w:w="200"/>
      </w:tblGrid>
      <w:tr w:rsidR="00087569" w:rsidTr="00087569">
        <w:trPr>
          <w:trHeight w:val="240"/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Категория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населенного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 пункта  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7569" w:rsidTr="00087569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Электропотребление, кв-ч/год на 1чел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7569" w:rsidTr="00087569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7569" w:rsidTr="00087569">
        <w:trPr>
          <w:trHeight w:val="150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Поселки и сельские поселения (без кондиционеров)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7569" w:rsidTr="00087569">
        <w:trPr>
          <w:trHeight w:val="24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оборудованные стационарными электроплитами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87569" w:rsidTr="00087569">
        <w:trPr>
          <w:trHeight w:val="24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Оборудованные электроплитами (100%)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электроснабжения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 IX. Объекты теплоснабжения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42.13330.2011 "Градостроительство. Планировка и застройка городских и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сельских поселений. Актуализированная редакция СНиП 2.07.01-89*";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131.13330.2012 «Строительная климатология» (актуализированная версия) 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36.13330.2012 "Магистральные трубопроводы";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 452-73 "Нормы отвода земель для магистральных трубопроводов";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60.13330.2012 "Отопление, вентиляция и кондиционирование";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124.13330.2012 "Тепловые сети";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89.13330.2012 "Котельные установки";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41-101-95 "Проектирование тепловых пунктов";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21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2"/>
        <w:gridCol w:w="2584"/>
        <w:gridCol w:w="2154"/>
        <w:gridCol w:w="1938"/>
        <w:gridCol w:w="1938"/>
        <w:gridCol w:w="3230"/>
      </w:tblGrid>
      <w:tr w:rsidR="00087569" w:rsidTr="00087569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087569" w:rsidTr="00087569">
        <w:trPr>
          <w:tblCellSpacing w:w="0" w:type="dxa"/>
        </w:trPr>
        <w:tc>
          <w:tcPr>
            <w:tcW w:w="2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</w:tr>
      <w:tr w:rsidR="00087569" w:rsidTr="00087569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087569" w:rsidTr="00087569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087569" w:rsidTr="00087569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4-6-этажные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Расчетные тепловые нагрузки определяются: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таблице 40</w:t>
        </w:r>
      </w:hyperlink>
      <w:r>
        <w:rPr>
          <w:rFonts w:ascii="Tahoma" w:hAnsi="Tahoma" w:cs="Tahoma"/>
          <w:color w:val="000000"/>
          <w:sz w:val="18"/>
          <w:szCs w:val="18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теплоснабжения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X. Объекты газоснабжения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1"/>
        <w:gridCol w:w="1558"/>
        <w:gridCol w:w="1334"/>
        <w:gridCol w:w="2217"/>
      </w:tblGrid>
      <w:tr w:rsidR="00087569" w:rsidTr="00087569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норматива,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(потребители ресурса)</w:t>
            </w: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124.13330.2012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42-101-2003</w:t>
            </w:r>
          </w:p>
        </w:tc>
      </w:tr>
      <w:tr w:rsidR="00087569" w:rsidTr="00087569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всяких видов горячего водоснабжения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газоснабжения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XI. Объекты водоснабжения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01"/>
        <w:gridCol w:w="9599"/>
      </w:tblGrid>
      <w:tr w:rsidR="00087569" w:rsidTr="00087569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087569" w:rsidTr="00087569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Застройка зданиями, оборудованными внутренним водопроводом и канализацией: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ванн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125–160</w:t>
            </w:r>
          </w:p>
        </w:tc>
      </w:tr>
      <w:tr w:rsidR="00087569" w:rsidTr="00087569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160–230</w:t>
            </w:r>
          </w:p>
        </w:tc>
      </w:tr>
      <w:tr w:rsidR="00087569" w:rsidTr="00087569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230–350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водоснабжения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XII. Объекты водоотведения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Вышнеольховатского сельсовета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 30.13330.2010* "СНиП 2.04.01-85* Внутренний водопровод и канализация зданий"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32.13330.2012 Канализация. Наружные сети и сооружения.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42.13330.2011 Градостроительство. Планировка и застройка городских и сельских поселений.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2.1.5.980-00 Гигиенические требования к охране поверхностных вод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канализационных стоков должны быть предусмотрены очистные сооружения.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водоотведения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XIII. Объекты, предназначенные для утилизации и переработки бытовых и промышленных отходов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22"/>
        <w:gridCol w:w="3086"/>
        <w:gridCol w:w="3746"/>
        <w:gridCol w:w="3746"/>
      </w:tblGrid>
      <w:tr w:rsidR="00087569" w:rsidTr="00087569">
        <w:trPr>
          <w:tblCellSpacing w:w="0" w:type="dxa"/>
        </w:trPr>
        <w:tc>
          <w:tcPr>
            <w:tcW w:w="2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отходы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Твердые: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087569" w:rsidTr="00087569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190-225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300-450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280-300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 с 1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176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8"/>
        <w:gridCol w:w="7483"/>
      </w:tblGrid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и сооружения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Площади земельных участков на 1000 т бытовых отходов, га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Склады компоста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Полигоны*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0,02-0,05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0,5-1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087569" w:rsidTr="00087569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- наименьшие размеры площадей полигонов относятся к сооружениям, размещаемым на песчаных грунтах.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вывозу твердых и жидких бытовых отходов должны оказываться в следующие сроки: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реже одного раза в три дня - при температуре воздуха до 14 °С;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ежедневно - при температуре воздуха выше 14 °С;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5"/>
        <w:gridCol w:w="1560"/>
        <w:gridCol w:w="1410"/>
        <w:gridCol w:w="3615"/>
      </w:tblGrid>
      <w:tr w:rsidR="00087569" w:rsidTr="00087569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087569" w:rsidTr="00087569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  <w:tr w:rsidR="00087569" w:rsidTr="00087569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поселение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Раздел XV. Зоны рекреационного назначения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2794"/>
        <w:gridCol w:w="1593"/>
        <w:gridCol w:w="1292"/>
        <w:gridCol w:w="1758"/>
        <w:gridCol w:w="1217"/>
      </w:tblGrid>
      <w:tr w:rsidR="00087569" w:rsidTr="00087569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087569" w:rsidTr="0008756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500 - 1000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087569" w:rsidTr="0008756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Вышнеольховатского сельсовета утвержденными решением _________________________ муниципального образования от ______________________.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640"/>
        <w:gridCol w:w="1200"/>
        <w:gridCol w:w="1905"/>
        <w:gridCol w:w="1215"/>
        <w:gridCol w:w="1695"/>
      </w:tblGrid>
      <w:tr w:rsidR="00087569" w:rsidTr="00087569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087569" w:rsidTr="000875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7569" w:rsidRDefault="0008756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087569" w:rsidTr="0008756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Озелененные территории общего пользования (парки, скверы, бульвары)</w:t>
            </w: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/чел.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87569" w:rsidRDefault="00087569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(для парков районного значения)</w:t>
            </w:r>
          </w:p>
        </w:tc>
      </w:tr>
    </w:tbl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087569" w:rsidRDefault="00087569" w:rsidP="0008756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087569" w:rsidRDefault="00CF7231" w:rsidP="00087569"/>
    <w:sectPr w:rsidR="00CF7231" w:rsidRPr="0008756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file:///C:\Users\Eduard\Downloads\%D0%92%D1%8B%D1%88%D0%BD%D0%B5%D0%BE%D0%BB%D1%8C%D1%85%D0%BE%D0%B2%D0%B0%D1%82%D1%81%D0%BA%D0%B8%D0%B9%20%D0%BC%D0%B0%D1%82%D0%B5%D1%80%D0%B8%D0%B0%D0%BB%D1%8B%20%D0%BF%D0%BE%20%D0%BE%D0%B1%D0%BE%D1%81%D0%BD%D0%BE%D0%B2%D0%B0%D0%BD%D0%B8%D1%8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17</Pages>
  <Words>8956</Words>
  <Characters>51053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17</cp:revision>
  <cp:lastPrinted>2025-01-31T13:01:00Z</cp:lastPrinted>
  <dcterms:created xsi:type="dcterms:W3CDTF">2025-03-25T19:20:00Z</dcterms:created>
  <dcterms:modified xsi:type="dcterms:W3CDTF">2025-04-15T05:39:00Z</dcterms:modified>
</cp:coreProperties>
</file>